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0D87AF" w14:textId="77777777" w:rsidR="007332D7" w:rsidRDefault="007332D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8"/>
        <w:gridCol w:w="5307"/>
        <w:gridCol w:w="1921"/>
      </w:tblGrid>
      <w:tr w:rsidR="007332D7" w14:paraId="737227C7" w14:textId="77777777">
        <w:trPr>
          <w:trHeight w:val="480"/>
        </w:trPr>
        <w:tc>
          <w:tcPr>
            <w:tcW w:w="25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1B31AC" w14:textId="04243127" w:rsidR="007332D7" w:rsidRDefault="00A066EB">
            <w:pPr>
              <w:pStyle w:val="Sadrajitablice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5785497F" wp14:editId="5A67C46B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70485</wp:posOffset>
                  </wp:positionV>
                  <wp:extent cx="1424940" cy="665480"/>
                  <wp:effectExtent l="0" t="0" r="0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66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4D58F2" w14:textId="77777777" w:rsidR="007332D7" w:rsidRDefault="007332D7">
            <w:pPr>
              <w:snapToGrid w:val="0"/>
              <w:jc w:val="center"/>
              <w:rPr>
                <w:rFonts w:eastAsia="TimesNewRomanPS-BoldMT" w:cs="TimesNewRomanPS-BoldMT"/>
                <w:b/>
                <w:bCs/>
              </w:rPr>
            </w:pPr>
            <w:r>
              <w:rPr>
                <w:rFonts w:eastAsia="TimesNewRomanPS-BoldMT" w:cs="TimesNewRomanPS-BoldMT"/>
                <w:b/>
                <w:bCs/>
              </w:rPr>
              <w:t>UPUTE I PREPORUKE PACIJENTIMA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9FE01" w14:textId="77777777" w:rsidR="007332D7" w:rsidRDefault="007332D7">
            <w:pPr>
              <w:pStyle w:val="Sadrajitablice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UPP</w:t>
            </w:r>
          </w:p>
        </w:tc>
      </w:tr>
      <w:tr w:rsidR="007332D7" w14:paraId="184BDB36" w14:textId="77777777">
        <w:trPr>
          <w:trHeight w:val="487"/>
        </w:trPr>
        <w:tc>
          <w:tcPr>
            <w:tcW w:w="25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6CFF11" w14:textId="77777777" w:rsidR="007332D7" w:rsidRDefault="007332D7">
            <w:pPr>
              <w:snapToGrid w:val="0"/>
            </w:pPr>
          </w:p>
        </w:tc>
        <w:tc>
          <w:tcPr>
            <w:tcW w:w="5307" w:type="dxa"/>
            <w:tcBorders>
              <w:left w:val="single" w:sz="1" w:space="0" w:color="000000"/>
              <w:bottom w:val="single" w:sz="1" w:space="0" w:color="000000"/>
            </w:tcBorders>
          </w:tcPr>
          <w:p w14:paraId="59822017" w14:textId="77777777" w:rsidR="007332D7" w:rsidRDefault="007332D7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PRIJEM NA BOLNIČKO LIJEČENJE</w:t>
            </w:r>
          </w:p>
        </w:tc>
        <w:tc>
          <w:tcPr>
            <w:tcW w:w="1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6085D" w14:textId="77777777" w:rsidR="007332D7" w:rsidRDefault="007332D7">
            <w:pPr>
              <w:pStyle w:val="Sadrajitablice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UPP - Prijem</w:t>
            </w:r>
          </w:p>
        </w:tc>
      </w:tr>
      <w:tr w:rsidR="007332D7" w14:paraId="53E33C85" w14:textId="77777777">
        <w:trPr>
          <w:trHeight w:val="338"/>
        </w:trPr>
        <w:tc>
          <w:tcPr>
            <w:tcW w:w="25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5712C" w14:textId="77777777" w:rsidR="007332D7" w:rsidRDefault="007332D7">
            <w:pPr>
              <w:snapToGrid w:val="0"/>
            </w:pPr>
          </w:p>
        </w:tc>
        <w:tc>
          <w:tcPr>
            <w:tcW w:w="5307" w:type="dxa"/>
            <w:tcBorders>
              <w:left w:val="single" w:sz="1" w:space="0" w:color="000000"/>
              <w:bottom w:val="single" w:sz="1" w:space="0" w:color="000000"/>
            </w:tcBorders>
          </w:tcPr>
          <w:p w14:paraId="04737490" w14:textId="77777777" w:rsidR="007332D7" w:rsidRDefault="007332D7">
            <w:pPr>
              <w:pStyle w:val="Sadrajitablice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UPUTE O UPISU I PRIJEMU</w:t>
            </w:r>
          </w:p>
        </w:tc>
        <w:tc>
          <w:tcPr>
            <w:tcW w:w="1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B680A" w14:textId="77777777" w:rsidR="007332D7" w:rsidRDefault="007332D7">
            <w:pPr>
              <w:pStyle w:val="Sadrajitablice"/>
              <w:snapToGrid w:val="0"/>
            </w:pPr>
            <w:r>
              <w:t>Izdanje 1 str.1</w:t>
            </w:r>
          </w:p>
        </w:tc>
      </w:tr>
    </w:tbl>
    <w:p w14:paraId="4F95A1F1" w14:textId="77777777" w:rsidR="007332D7" w:rsidRDefault="007332D7"/>
    <w:p w14:paraId="3A727C68" w14:textId="77777777" w:rsidR="0047260E" w:rsidRDefault="0047260E"/>
    <w:p w14:paraId="551B8429" w14:textId="77777777" w:rsidR="0047260E" w:rsidRDefault="0047260E"/>
    <w:p w14:paraId="1BAA05B1" w14:textId="77777777" w:rsidR="0047260E" w:rsidRPr="0047260E" w:rsidRDefault="0047260E">
      <w:pPr>
        <w:rPr>
          <w:u w:val="single"/>
        </w:rPr>
      </w:pPr>
    </w:p>
    <w:p w14:paraId="64A9273F" w14:textId="77777777" w:rsidR="007332D7" w:rsidRPr="0047260E" w:rsidRDefault="007332D7">
      <w:pPr>
        <w:rPr>
          <w:rFonts w:ascii="Arial" w:hAnsi="Arial" w:cs="Arial"/>
          <w:b/>
          <w:color w:val="000000"/>
          <w:u w:val="single"/>
        </w:rPr>
      </w:pPr>
      <w:bookmarkStart w:id="0" w:name="content1"/>
      <w:bookmarkEnd w:id="0"/>
      <w:r w:rsidRPr="0047260E">
        <w:rPr>
          <w:rFonts w:ascii="Arial" w:hAnsi="Arial" w:cs="Arial"/>
          <w:b/>
          <w:color w:val="000000"/>
          <w:u w:val="single"/>
        </w:rPr>
        <w:t xml:space="preserve">Dokumenti potrebni za prijem u bolnicu: </w:t>
      </w:r>
    </w:p>
    <w:p w14:paraId="485394D2" w14:textId="77777777" w:rsidR="007332D7" w:rsidRPr="004A7AE0" w:rsidRDefault="007332D7">
      <w:pPr>
        <w:rPr>
          <w:rFonts w:ascii="Arial" w:hAnsi="Arial" w:cs="Arial"/>
          <w:color w:val="000000"/>
        </w:rPr>
      </w:pPr>
    </w:p>
    <w:p w14:paraId="49811C92" w14:textId="77777777" w:rsidR="007332D7" w:rsidRPr="00846208" w:rsidRDefault="00B85CA5">
      <w:pPr>
        <w:pStyle w:val="BodyText"/>
        <w:numPr>
          <w:ilvl w:val="0"/>
          <w:numId w:val="1"/>
        </w:numPr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uputnica za bolničko liječenje</w:t>
      </w:r>
    </w:p>
    <w:p w14:paraId="7931F689" w14:textId="77777777" w:rsidR="007332D7" w:rsidRPr="00846208" w:rsidRDefault="007332D7">
      <w:pPr>
        <w:pStyle w:val="BodyText"/>
        <w:numPr>
          <w:ilvl w:val="0"/>
          <w:numId w:val="1"/>
        </w:numPr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zdravstvena iskaznica</w:t>
      </w:r>
    </w:p>
    <w:p w14:paraId="0CCBDC62" w14:textId="77777777" w:rsidR="007332D7" w:rsidRPr="00846208" w:rsidRDefault="007332D7" w:rsidP="00B85CA5">
      <w:pPr>
        <w:pStyle w:val="BodyText"/>
        <w:numPr>
          <w:ilvl w:val="0"/>
          <w:numId w:val="1"/>
        </w:numPr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iskaznica dopunskog zdravstvenog osiguranja (ukoliko ste korisnik)</w:t>
      </w:r>
      <w:r w:rsidR="00B85CA5" w:rsidRPr="00846208">
        <w:rPr>
          <w:rFonts w:ascii="Arial" w:hAnsi="Arial" w:cs="Arial"/>
          <w:color w:val="000000"/>
          <w:sz w:val="22"/>
          <w:szCs w:val="22"/>
        </w:rPr>
        <w:t xml:space="preserve"> ili pripremiti novac za podmirivanje participacijskih troškova</w:t>
      </w:r>
    </w:p>
    <w:p w14:paraId="03D263C3" w14:textId="77777777" w:rsidR="007332D7" w:rsidRPr="00846208" w:rsidRDefault="004A7AE0">
      <w:pPr>
        <w:pStyle w:val="BodyText"/>
        <w:numPr>
          <w:ilvl w:val="0"/>
          <w:numId w:val="1"/>
        </w:numPr>
        <w:tabs>
          <w:tab w:val="left" w:pos="1414"/>
        </w:tabs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medicinsku dokumentaciju ( nalazi liječnika, laboratorija, rtg isl.)</w:t>
      </w:r>
    </w:p>
    <w:p w14:paraId="3949E03F" w14:textId="77777777" w:rsidR="007332D7" w:rsidRPr="004A7AE0" w:rsidRDefault="007332D7">
      <w:pPr>
        <w:pStyle w:val="BodyText"/>
        <w:tabs>
          <w:tab w:val="left" w:pos="1414"/>
        </w:tabs>
        <w:ind w:left="707" w:hanging="283"/>
        <w:rPr>
          <w:rFonts w:ascii="Arial" w:hAnsi="Arial" w:cs="Arial"/>
          <w:color w:val="000000"/>
        </w:rPr>
      </w:pPr>
    </w:p>
    <w:p w14:paraId="622C9166" w14:textId="77777777" w:rsidR="007332D7" w:rsidRPr="004A7AE0" w:rsidRDefault="007332D7">
      <w:pPr>
        <w:pStyle w:val="BodyText"/>
        <w:spacing w:after="0"/>
        <w:rPr>
          <w:rFonts w:ascii="Arial" w:hAnsi="Arial" w:cs="Arial"/>
          <w:b/>
          <w:color w:val="000000"/>
        </w:rPr>
      </w:pPr>
      <w:r w:rsidRPr="004A7AE0">
        <w:rPr>
          <w:rFonts w:ascii="Arial" w:hAnsi="Arial" w:cs="Arial"/>
          <w:b/>
          <w:color w:val="000000"/>
        </w:rPr>
        <w:t>Ukoliko ste korisnik dobrovoljnog ili privatnog zdravstvenog osiguranja kod prijema u bolnicu potrebna vam je:</w:t>
      </w:r>
    </w:p>
    <w:p w14:paraId="62D2DEF4" w14:textId="77777777" w:rsidR="007332D7" w:rsidRPr="00846208" w:rsidRDefault="007332D7">
      <w:pPr>
        <w:pStyle w:val="BodyText"/>
        <w:numPr>
          <w:ilvl w:val="0"/>
          <w:numId w:val="2"/>
        </w:numPr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kartica dobrovoljnog zdravstvenog osiguranja ukoliko ga imate (Croatia osiguranje, Grawe osiguranje, Sunce osiguranje, Zagreb osiguranje)</w:t>
      </w:r>
    </w:p>
    <w:p w14:paraId="4EC01BDE" w14:textId="77777777" w:rsidR="007332D7" w:rsidRPr="00846208" w:rsidRDefault="007332D7">
      <w:pPr>
        <w:pStyle w:val="BodyText"/>
        <w:numPr>
          <w:ilvl w:val="0"/>
          <w:numId w:val="2"/>
        </w:numPr>
        <w:tabs>
          <w:tab w:val="left" w:pos="1414"/>
        </w:tabs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kartica privatnog zdravstvenog osiguranja ako ga imate</w:t>
      </w:r>
    </w:p>
    <w:p w14:paraId="3AF9FCB3" w14:textId="77777777" w:rsidR="004A7AE0" w:rsidRPr="00846208" w:rsidRDefault="004A7AE0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b/>
          <w:color w:val="000000"/>
          <w:sz w:val="22"/>
          <w:szCs w:val="22"/>
        </w:rPr>
        <w:t>HITNI PRIJEM putem objedinjenog bolničkog prijema ( OHBP –a),</w:t>
      </w:r>
      <w:r w:rsidRPr="00846208">
        <w:rPr>
          <w:rFonts w:ascii="Arial" w:hAnsi="Arial" w:cs="Arial"/>
          <w:color w:val="000000"/>
          <w:sz w:val="22"/>
          <w:szCs w:val="22"/>
        </w:rPr>
        <w:t xml:space="preserve"> </w:t>
      </w:r>
      <w:r w:rsidR="007332D7" w:rsidRPr="00846208">
        <w:rPr>
          <w:rFonts w:ascii="Arial" w:hAnsi="Arial" w:cs="Arial"/>
          <w:color w:val="000000"/>
          <w:sz w:val="22"/>
          <w:szCs w:val="22"/>
        </w:rPr>
        <w:t>bilo bi poželjno da bolesnik kod sebe ima prethodno navedene dokumente, lijekove koje koristi (ako koristi) i nešto novca za eventualne dodatne troškove. Poželjn</w:t>
      </w:r>
      <w:r w:rsidRPr="00846208">
        <w:rPr>
          <w:rFonts w:ascii="Arial" w:hAnsi="Arial" w:cs="Arial"/>
          <w:color w:val="000000"/>
          <w:sz w:val="22"/>
          <w:szCs w:val="22"/>
        </w:rPr>
        <w:t>a je i osobna pratnja bolesnika. Ako zbog hitnosti nije moguć redovan upis, navedena dokumentacija će se zatražiti naknadno od pacijentove pratnje.</w:t>
      </w:r>
    </w:p>
    <w:p w14:paraId="23602BD5" w14:textId="77777777" w:rsidR="0047260E" w:rsidRDefault="0047260E">
      <w:pPr>
        <w:rPr>
          <w:rStyle w:val="Strong"/>
          <w:rFonts w:ascii="Arial" w:hAnsi="Arial" w:cs="Arial"/>
          <w:color w:val="000000"/>
          <w:u w:val="single"/>
        </w:rPr>
      </w:pPr>
    </w:p>
    <w:p w14:paraId="3B7E44D3" w14:textId="77777777" w:rsidR="007332D7" w:rsidRPr="007069C2" w:rsidRDefault="007332D7">
      <w:pPr>
        <w:rPr>
          <w:rStyle w:val="Strong"/>
          <w:rFonts w:ascii="Arial" w:hAnsi="Arial" w:cs="Arial"/>
          <w:color w:val="000000"/>
          <w:u w:val="single"/>
        </w:rPr>
      </w:pPr>
      <w:r w:rsidRPr="007069C2">
        <w:rPr>
          <w:rStyle w:val="Strong"/>
          <w:rFonts w:ascii="Arial" w:hAnsi="Arial" w:cs="Arial"/>
          <w:color w:val="000000"/>
          <w:u w:val="single"/>
        </w:rPr>
        <w:t>Upis u bolnicu</w:t>
      </w:r>
      <w:r w:rsidR="00846208" w:rsidRPr="007069C2">
        <w:rPr>
          <w:rStyle w:val="Strong"/>
          <w:rFonts w:ascii="Arial" w:hAnsi="Arial" w:cs="Arial"/>
          <w:color w:val="000000"/>
          <w:u w:val="single"/>
        </w:rPr>
        <w:t xml:space="preserve"> i smještaj</w:t>
      </w:r>
    </w:p>
    <w:p w14:paraId="76232033" w14:textId="77777777" w:rsidR="007332D7" w:rsidRPr="00846208" w:rsidRDefault="007332D7">
      <w:pPr>
        <w:rPr>
          <w:rFonts w:ascii="Arial" w:hAnsi="Arial" w:cs="Arial"/>
          <w:color w:val="000000"/>
          <w:sz w:val="22"/>
          <w:szCs w:val="22"/>
        </w:rPr>
      </w:pPr>
    </w:p>
    <w:p w14:paraId="3C9744A8" w14:textId="77777777" w:rsidR="007332D7" w:rsidRPr="00846208" w:rsidRDefault="00846208">
      <w:pPr>
        <w:pStyle w:val="BodyText"/>
        <w:numPr>
          <w:ilvl w:val="0"/>
          <w:numId w:val="3"/>
        </w:numPr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bookmarkStart w:id="1" w:name="content"/>
      <w:bookmarkEnd w:id="1"/>
      <w:r w:rsidRPr="00846208">
        <w:rPr>
          <w:rFonts w:ascii="Arial" w:hAnsi="Arial" w:cs="Arial"/>
          <w:color w:val="000000"/>
          <w:sz w:val="22"/>
          <w:szCs w:val="22"/>
        </w:rPr>
        <w:t>po dolasku u bolnicu pacijent se s uputnicom za bolničko liječenje javlja na odjel gdje je dogovoren smještaj ili se javlja na Centralni šalter gdje će dobiti informaciju kako doći do odjela gdje će biti smješten</w:t>
      </w:r>
    </w:p>
    <w:p w14:paraId="1231ABE3" w14:textId="77777777" w:rsidR="007332D7" w:rsidRPr="00846208" w:rsidRDefault="007332D7">
      <w:pPr>
        <w:pStyle w:val="BodyText"/>
        <w:numPr>
          <w:ilvl w:val="0"/>
          <w:numId w:val="3"/>
        </w:numPr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Kada stignete na traženi odjel  javite se glavnoj medicinskoj sestri odjela koja će vam dati daljnje upute o smještaju i svim Vašim pravima i obvezama dok ste na bolničkom liječenju.</w:t>
      </w:r>
    </w:p>
    <w:p w14:paraId="169BE88D" w14:textId="77777777" w:rsidR="007332D7" w:rsidRPr="00846208" w:rsidRDefault="007332D7">
      <w:pPr>
        <w:pStyle w:val="BodyText"/>
        <w:numPr>
          <w:ilvl w:val="0"/>
          <w:numId w:val="3"/>
        </w:numPr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U pratnji medicinske sestre ćete otići u vašu bolesničku sobu gdje ćete na korištenje dobiti krevet, ormarić i ormar za garderobu. O ostalim osobnim stvarima ( pidžama, papuče, ručnik, čaša, higijenske potrepštine) dogovarate se sa odjelnom medicinskom sestrom.</w:t>
      </w:r>
    </w:p>
    <w:p w14:paraId="76352ED4" w14:textId="77777777" w:rsidR="007332D7" w:rsidRPr="00846208" w:rsidRDefault="007332D7">
      <w:pPr>
        <w:pStyle w:val="BodyText"/>
        <w:numPr>
          <w:ilvl w:val="0"/>
          <w:numId w:val="3"/>
        </w:numPr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Novac i dragocjenosti prilikom prijema na bolničko liječenje predaju se medicinskoj sestri koja ih popiše i sprema do Vašeg otpusta iz bolnice. U protivnom, ustanova  ne odgovara za navedene osobne predmete.</w:t>
      </w:r>
    </w:p>
    <w:p w14:paraId="71527166" w14:textId="77777777" w:rsidR="007332D7" w:rsidRDefault="007332D7">
      <w:pPr>
        <w:pStyle w:val="BodyText"/>
        <w:numPr>
          <w:ilvl w:val="0"/>
          <w:numId w:val="3"/>
        </w:numPr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 w:rsidRPr="00846208">
        <w:rPr>
          <w:rFonts w:ascii="Arial" w:hAnsi="Arial" w:cs="Arial"/>
          <w:color w:val="000000"/>
          <w:sz w:val="22"/>
          <w:szCs w:val="22"/>
        </w:rPr>
        <w:t>Na svakom bolničkom odjelu, na vidljivom mjestu je dostupan naš kućni red kojeg ste dužni poštivati, radi bolje međusobne suradnje s osobljem ali i s drugim pacijentima.</w:t>
      </w:r>
    </w:p>
    <w:p w14:paraId="02D555F6" w14:textId="77777777" w:rsidR="00846208" w:rsidRDefault="00846208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</w:p>
    <w:p w14:paraId="4D4F743D" w14:textId="77777777" w:rsidR="00846208" w:rsidRDefault="00846208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</w:p>
    <w:p w14:paraId="7C2B3900" w14:textId="77777777" w:rsidR="00846208" w:rsidRPr="0047260E" w:rsidRDefault="00846208" w:rsidP="00846208">
      <w:pPr>
        <w:pStyle w:val="BodyText"/>
        <w:rPr>
          <w:rFonts w:ascii="Arial" w:hAnsi="Arial" w:cs="Arial"/>
          <w:b/>
          <w:color w:val="000000"/>
          <w:u w:val="single"/>
        </w:rPr>
      </w:pPr>
      <w:r w:rsidRPr="00846208">
        <w:rPr>
          <w:rFonts w:ascii="Arial" w:hAnsi="Arial" w:cs="Arial"/>
          <w:b/>
          <w:color w:val="000000"/>
          <w:u w:val="single"/>
        </w:rPr>
        <w:t>Osoblje bolnice i komunikaci</w:t>
      </w:r>
      <w:r w:rsidR="0047260E">
        <w:rPr>
          <w:rFonts w:ascii="Arial" w:hAnsi="Arial" w:cs="Arial"/>
          <w:b/>
          <w:color w:val="000000"/>
          <w:u w:val="single"/>
        </w:rPr>
        <w:t>ja sa zdravstvenim djelatnicima</w:t>
      </w:r>
      <w:r w:rsidRPr="00846208">
        <w:rPr>
          <w:rFonts w:ascii="Arial" w:hAnsi="Arial" w:cs="Arial"/>
          <w:color w:val="000000"/>
          <w:sz w:val="22"/>
          <w:szCs w:val="22"/>
        </w:rPr>
        <w:t>, medicinske sestre/tehničari i ostali djelatnici na odjelu na raspolaganju su pacijentu za sve informacije o njegovom zdravstvenom stanju i postupcima u liječenju. Liječnik će odrediti način i postupak vašeg liječenja.                                                                                                                                                Svoje želje i prijedloge prenesite liječniku na viziti, odnosno medicinskoj sestri. Ukoliko imate komentare ili želite izraziti pritužbu  odnosno pohvalu molimo vas da to učinite na odjelu na kojem ste smješteni.</w:t>
      </w:r>
    </w:p>
    <w:p w14:paraId="2136BAF9" w14:textId="77777777" w:rsidR="00846208" w:rsidRDefault="00846208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</w:p>
    <w:p w14:paraId="4BAFB39B" w14:textId="77777777" w:rsidR="00846208" w:rsidRDefault="00846208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b/>
          <w:color w:val="000000"/>
          <w:u w:val="single"/>
        </w:rPr>
      </w:pPr>
      <w:r w:rsidRPr="00846208">
        <w:rPr>
          <w:rFonts w:ascii="Arial" w:hAnsi="Arial" w:cs="Arial"/>
          <w:b/>
          <w:color w:val="000000"/>
          <w:u w:val="single"/>
        </w:rPr>
        <w:t>Pristanak na medicinski zahvat</w:t>
      </w:r>
    </w:p>
    <w:p w14:paraId="2E8A1049" w14:textId="77777777" w:rsidR="007069C2" w:rsidRDefault="007069C2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b/>
          <w:color w:val="000000"/>
          <w:u w:val="single"/>
        </w:rPr>
      </w:pPr>
    </w:p>
    <w:p w14:paraId="019F853C" w14:textId="77777777" w:rsidR="007069C2" w:rsidRDefault="007069C2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svaki medicinski zahvat potreban je vaš pristanak. </w:t>
      </w:r>
    </w:p>
    <w:p w14:paraId="5FC6F190" w14:textId="77777777" w:rsidR="007069C2" w:rsidRDefault="007069C2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Zato će vas liječnik kod prijema upoznati sa svim dijagnostičkim i terapijskim  postupcima, koji su potrebni za poboljšanje vašeg zdravlja. </w:t>
      </w:r>
    </w:p>
    <w:p w14:paraId="6E2E05F1" w14:textId="77777777" w:rsidR="007069C2" w:rsidRDefault="007069C2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</w:p>
    <w:p w14:paraId="76A6D1AE" w14:textId="77777777" w:rsidR="007069C2" w:rsidRPr="007069C2" w:rsidRDefault="007069C2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b/>
          <w:color w:val="000000"/>
          <w:u w:val="single"/>
        </w:rPr>
      </w:pPr>
      <w:r w:rsidRPr="007069C2">
        <w:rPr>
          <w:rFonts w:ascii="Arial" w:hAnsi="Arial" w:cs="Arial"/>
          <w:b/>
          <w:color w:val="000000"/>
          <w:u w:val="single"/>
        </w:rPr>
        <w:t>Bolnička prehrana</w:t>
      </w:r>
    </w:p>
    <w:p w14:paraId="78C6E609" w14:textId="77777777" w:rsidR="007069C2" w:rsidRDefault="007069C2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b/>
          <w:color w:val="000000"/>
          <w:u w:val="single"/>
        </w:rPr>
      </w:pPr>
    </w:p>
    <w:p w14:paraId="0173E1C8" w14:textId="77777777" w:rsidR="007069C2" w:rsidRPr="007069C2" w:rsidRDefault="007069C2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vrijeme boravka u bolnici pacijenti se moraju strogo pridržavati propisane bolničke dijete sukladno Odluci o standardu prehrane bolesni</w:t>
      </w:r>
      <w:r w:rsidR="003F328F">
        <w:rPr>
          <w:rFonts w:ascii="Arial" w:hAnsi="Arial" w:cs="Arial"/>
          <w:color w:val="000000"/>
          <w:sz w:val="22"/>
          <w:szCs w:val="22"/>
        </w:rPr>
        <w:t xml:space="preserve">ka u bolnicama NN 59/15. vrstu dijete propisuje liječnik , a pravilnu podjelu i serviranje hrane odgovorna je glavna medicinska sestra odjela ili sestra u smjeni. </w:t>
      </w:r>
      <w:r>
        <w:rPr>
          <w:rFonts w:ascii="Arial" w:hAnsi="Arial" w:cs="Arial"/>
          <w:color w:val="000000"/>
          <w:sz w:val="22"/>
          <w:szCs w:val="22"/>
        </w:rPr>
        <w:t>Dijeta je važan dio vašeg liječenja</w:t>
      </w:r>
      <w:r w:rsidR="003F328F">
        <w:rPr>
          <w:rFonts w:ascii="Arial" w:hAnsi="Arial" w:cs="Arial"/>
          <w:color w:val="000000"/>
          <w:sz w:val="22"/>
          <w:szCs w:val="22"/>
        </w:rPr>
        <w:t xml:space="preserve">. O prehrani, posebnim željama i količini </w:t>
      </w:r>
      <w:r w:rsidR="003F328F" w:rsidRPr="00685E71">
        <w:rPr>
          <w:rFonts w:ascii="Arial" w:hAnsi="Arial" w:cs="Arial"/>
          <w:color w:val="000000"/>
          <w:sz w:val="22"/>
          <w:szCs w:val="22"/>
          <w:shd w:val="clear" w:color="auto" w:fill="FFFFFF"/>
        </w:rPr>
        <w:t>dogovoriti ćete se s medicinskom sestrom na odjelu ili po potrebi s dijetetičarom.</w:t>
      </w:r>
    </w:p>
    <w:p w14:paraId="55A96888" w14:textId="77777777" w:rsidR="007069C2" w:rsidRPr="003F328F" w:rsidRDefault="003F328F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neke zahvate potrebno je biti natašte, ali</w:t>
      </w:r>
      <w:r w:rsidR="00FF1485">
        <w:rPr>
          <w:rFonts w:ascii="Arial" w:hAnsi="Arial" w:cs="Arial"/>
          <w:color w:val="000000"/>
          <w:sz w:val="22"/>
          <w:szCs w:val="22"/>
        </w:rPr>
        <w:t xml:space="preserve"> o tome će te biti upozoreni i molimo vas da upute u potpunosti poštujete.</w:t>
      </w:r>
    </w:p>
    <w:p w14:paraId="5F1C100F" w14:textId="77777777" w:rsidR="00846208" w:rsidRPr="0047260E" w:rsidRDefault="00846208" w:rsidP="00846208">
      <w:pPr>
        <w:pStyle w:val="BodyText"/>
        <w:tabs>
          <w:tab w:val="left" w:pos="1414"/>
        </w:tabs>
        <w:spacing w:after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2A0EEE8" w14:textId="77777777" w:rsidR="00615F01" w:rsidRDefault="00615F01" w:rsidP="0047260E">
      <w:pPr>
        <w:widowControl/>
        <w:suppressAutoHyphens w:val="0"/>
        <w:textAlignment w:val="baseline"/>
        <w:rPr>
          <w:rFonts w:ascii="inherit" w:eastAsia="Times New Roman" w:hAnsi="inherit" w:cs="Times New Roman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02FA23DC" w14:textId="77777777" w:rsidR="00137277" w:rsidRDefault="00137277" w:rsidP="0047260E">
      <w:pPr>
        <w:widowControl/>
        <w:suppressAutoHyphens w:val="0"/>
        <w:textAlignment w:val="baseline"/>
        <w:rPr>
          <w:rFonts w:ascii="inherit" w:eastAsia="Times New Roman" w:hAnsi="inherit" w:cs="Times New Roman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513E5FC6" w14:textId="77777777" w:rsidR="00137277" w:rsidRDefault="00137277" w:rsidP="0047260E">
      <w:pPr>
        <w:widowControl/>
        <w:suppressAutoHyphens w:val="0"/>
        <w:textAlignment w:val="baseline"/>
        <w:rPr>
          <w:rFonts w:ascii="inherit" w:eastAsia="Times New Roman" w:hAnsi="inherit" w:cs="Times New Roman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60ED1941" w14:textId="77777777" w:rsidR="00615F01" w:rsidRDefault="00615F01" w:rsidP="0047260E">
      <w:pPr>
        <w:widowControl/>
        <w:suppressAutoHyphens w:val="0"/>
        <w:textAlignment w:val="baseline"/>
        <w:rPr>
          <w:rFonts w:ascii="inherit" w:eastAsia="Times New Roman" w:hAnsi="inherit" w:cs="Times New Roman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02EEB9CB" w14:textId="77777777" w:rsidR="00615F01" w:rsidRDefault="00615F01" w:rsidP="0047260E">
      <w:pPr>
        <w:widowControl/>
        <w:suppressAutoHyphens w:val="0"/>
        <w:textAlignment w:val="baseline"/>
        <w:rPr>
          <w:rFonts w:ascii="inherit" w:eastAsia="Times New Roman" w:hAnsi="inherit" w:cs="Times New Roman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1B5A58CC" w14:textId="77777777" w:rsidR="00615F01" w:rsidRDefault="00615F01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740D387D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3A3D14F6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5459FD74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1B5D2E0C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60BC5335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33D0F1B8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71D5F509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38264844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2FAF250E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6D2D6772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01E666B2" w14:textId="77777777" w:rsidR="00956087" w:rsidRDefault="00956087" w:rsidP="0047260E">
      <w:pPr>
        <w:widowControl/>
        <w:suppressAutoHyphens w:val="0"/>
        <w:textAlignment w:val="baseline"/>
        <w:rPr>
          <w:rFonts w:ascii="Arial" w:eastAsia="Times New Roman" w:hAnsi="Arial" w:cs="Arial"/>
          <w:b/>
          <w:bCs/>
          <w:color w:val="C00000"/>
          <w:kern w:val="0"/>
          <w:bdr w:val="none" w:sz="0" w:space="0" w:color="auto" w:frame="1"/>
          <w:lang w:eastAsia="hr-HR" w:bidi="ar-SA"/>
        </w:rPr>
      </w:pPr>
    </w:p>
    <w:p w14:paraId="7EFE6BE3" w14:textId="77777777" w:rsidR="00956087" w:rsidRDefault="00956087">
      <w:pPr>
        <w:rPr>
          <w:rStyle w:val="Strong"/>
          <w:color w:val="000000"/>
        </w:rPr>
      </w:pPr>
    </w:p>
    <w:p w14:paraId="017DF0A3" w14:textId="77777777" w:rsidR="00956087" w:rsidRDefault="00956087">
      <w:pPr>
        <w:rPr>
          <w:rStyle w:val="Strong"/>
          <w:color w:val="000000"/>
        </w:rPr>
      </w:pPr>
    </w:p>
    <w:sectPr w:rsidR="0095608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A6DB" w14:textId="77777777" w:rsidR="0088405E" w:rsidRDefault="0088405E" w:rsidP="00956087">
      <w:r>
        <w:separator/>
      </w:r>
    </w:p>
  </w:endnote>
  <w:endnote w:type="continuationSeparator" w:id="0">
    <w:p w14:paraId="3656ADBB" w14:textId="77777777" w:rsidR="0088405E" w:rsidRDefault="0088405E" w:rsidP="0095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B9B5" w14:textId="77777777" w:rsidR="0088405E" w:rsidRDefault="0088405E" w:rsidP="00956087">
      <w:r>
        <w:separator/>
      </w:r>
    </w:p>
  </w:footnote>
  <w:footnote w:type="continuationSeparator" w:id="0">
    <w:p w14:paraId="05641F14" w14:textId="77777777" w:rsidR="0088405E" w:rsidRDefault="0088405E" w:rsidP="0095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441580">
    <w:abstractNumId w:val="0"/>
  </w:num>
  <w:num w:numId="2" w16cid:durableId="1457063685">
    <w:abstractNumId w:val="1"/>
  </w:num>
  <w:num w:numId="3" w16cid:durableId="229779113">
    <w:abstractNumId w:val="2"/>
  </w:num>
  <w:num w:numId="4" w16cid:durableId="1276251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A5"/>
    <w:rsid w:val="000A2539"/>
    <w:rsid w:val="00137277"/>
    <w:rsid w:val="00316FFF"/>
    <w:rsid w:val="003F328F"/>
    <w:rsid w:val="00457C4C"/>
    <w:rsid w:val="0047260E"/>
    <w:rsid w:val="00480555"/>
    <w:rsid w:val="004A7AE0"/>
    <w:rsid w:val="00615F01"/>
    <w:rsid w:val="00685E71"/>
    <w:rsid w:val="007069C2"/>
    <w:rsid w:val="007332D7"/>
    <w:rsid w:val="00846208"/>
    <w:rsid w:val="0088405E"/>
    <w:rsid w:val="00956087"/>
    <w:rsid w:val="00A066EB"/>
    <w:rsid w:val="00B85CA5"/>
    <w:rsid w:val="00DB54A4"/>
    <w:rsid w:val="00E56136"/>
    <w:rsid w:val="00F30EE5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347138"/>
  <w15:chartTrackingRefBased/>
  <w15:docId w15:val="{6DE64297-8CD0-48F8-A262-BE25BEE3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hr-HR"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styleId="Strong">
    <w:name w:val="Strong"/>
    <w:qFormat/>
    <w:rPr>
      <w:b/>
      <w:bCs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CA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5CA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56087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956087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56087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956087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3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2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Vučić</dc:creator>
  <cp:keywords/>
  <cp:lastModifiedBy>Juraj Škaljin</cp:lastModifiedBy>
  <cp:revision>2</cp:revision>
  <cp:lastPrinted>2022-02-14T12:35:00Z</cp:lastPrinted>
  <dcterms:created xsi:type="dcterms:W3CDTF">2026-04-30T13:02:00Z</dcterms:created>
  <dcterms:modified xsi:type="dcterms:W3CDTF">2026-04-30T13:02:00Z</dcterms:modified>
</cp:coreProperties>
</file>